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AE9E" w14:textId="2BE786EF" w:rsidR="00EC0DA6" w:rsidRPr="00113C3E" w:rsidRDefault="00EC0DA6" w:rsidP="00EC0DA6">
      <w:pPr>
        <w:adjustRightInd w:val="0"/>
        <w:jc w:val="right"/>
        <w:rPr>
          <w:rFonts w:ascii="Palatino Linotype" w:hAnsi="Palatino Linotype" w:cs="Times New Roman"/>
          <w:bCs/>
          <w:sz w:val="24"/>
          <w:szCs w:val="24"/>
          <w:lang w:val="ro-RO"/>
        </w:rPr>
      </w:pPr>
      <w:r w:rsidRPr="00113C3E">
        <w:rPr>
          <w:rFonts w:ascii="Palatino Linotype" w:hAnsi="Palatino Linotype" w:cs="Times New Roman"/>
          <w:bCs/>
          <w:sz w:val="24"/>
          <w:szCs w:val="24"/>
          <w:lang w:val="ro-RO"/>
        </w:rPr>
        <w:t xml:space="preserve">Anexa nr. </w:t>
      </w:r>
      <w:r w:rsidR="00FB6E05">
        <w:rPr>
          <w:rFonts w:ascii="Palatino Linotype" w:hAnsi="Palatino Linotype" w:cs="Times New Roman"/>
          <w:bCs/>
          <w:sz w:val="24"/>
          <w:szCs w:val="24"/>
          <w:lang w:val="ro-RO"/>
        </w:rPr>
        <w:t>6</w:t>
      </w:r>
      <w:r w:rsidRPr="00113C3E">
        <w:rPr>
          <w:rFonts w:ascii="Palatino Linotype" w:hAnsi="Palatino Linotype" w:cs="Times New Roman"/>
          <w:bCs/>
          <w:sz w:val="24"/>
          <w:szCs w:val="24"/>
          <w:lang w:val="ro-RO"/>
        </w:rPr>
        <w:t xml:space="preserve"> </w:t>
      </w:r>
    </w:p>
    <w:p w14:paraId="40A03D6B" w14:textId="202451B7" w:rsidR="00A76635" w:rsidRPr="00732DBB" w:rsidRDefault="00A76635" w:rsidP="00A76635">
      <w:pPr>
        <w:rPr>
          <w:rFonts w:ascii="Palatino Linotype" w:hAnsi="Palatino Linotype" w:cs="Times New Roman"/>
          <w:b/>
          <w:bCs/>
          <w:sz w:val="24"/>
          <w:szCs w:val="24"/>
          <w:lang w:val="ro-RO"/>
        </w:rPr>
      </w:pPr>
    </w:p>
    <w:p w14:paraId="69B622F3" w14:textId="0B67A9E2" w:rsidR="006F5660" w:rsidRDefault="006F5660" w:rsidP="00A76635">
      <w:pPr>
        <w:rPr>
          <w:rFonts w:ascii="Palatino Linotype" w:hAnsi="Palatino Linotype" w:cs="Times New Roman"/>
          <w:b/>
          <w:bCs/>
          <w:sz w:val="24"/>
          <w:szCs w:val="24"/>
          <w:lang w:val="ro-RO"/>
        </w:rPr>
      </w:pPr>
    </w:p>
    <w:p w14:paraId="22ED0245" w14:textId="77777777" w:rsidR="006F5660" w:rsidRPr="00732DBB" w:rsidRDefault="006F5660" w:rsidP="00A76635">
      <w:pPr>
        <w:rPr>
          <w:rFonts w:ascii="Palatino Linotype" w:hAnsi="Palatino Linotype" w:cs="Times New Roman"/>
          <w:b/>
          <w:bCs/>
          <w:sz w:val="24"/>
          <w:szCs w:val="24"/>
          <w:lang w:val="ro-RO"/>
        </w:rPr>
      </w:pPr>
    </w:p>
    <w:p w14:paraId="1C26D8EB" w14:textId="77777777" w:rsidR="00542140" w:rsidRPr="00542140" w:rsidRDefault="00542140" w:rsidP="00542140">
      <w:pPr>
        <w:ind w:left="10" w:right="915"/>
        <w:jc w:val="right"/>
        <w:rPr>
          <w:rFonts w:ascii="Times New Roman" w:hAnsi="Times New Roman" w:cs="Times New Roman"/>
          <w:lang w:val="ro-RO"/>
        </w:rPr>
      </w:pPr>
    </w:p>
    <w:p w14:paraId="195C6DDE" w14:textId="6AD110D1" w:rsidR="00542140" w:rsidRPr="00F003A0" w:rsidRDefault="00542140" w:rsidP="00542140">
      <w:pPr>
        <w:keepNext/>
        <w:keepLines/>
        <w:spacing w:after="0" w:line="259" w:lineRule="auto"/>
        <w:ind w:left="101"/>
        <w:jc w:val="center"/>
        <w:outlineLvl w:val="1"/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</w:pPr>
      <w:r w:rsidRPr="00F003A0"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  <w:t xml:space="preserve">GRILĂ </w:t>
      </w:r>
      <w:r w:rsidR="009B4575"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  <w:t xml:space="preserve">DE </w:t>
      </w:r>
      <w:r w:rsidRPr="00F003A0"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  <w:t>EVALUARE ŞI SELECTARE A PARTICIPAN</w:t>
      </w:r>
      <w:r w:rsidR="00A06BA0" w:rsidRPr="00F003A0"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  <w:t>Ț</w:t>
      </w:r>
      <w:r w:rsidRPr="00F003A0">
        <w:rPr>
          <w:rFonts w:ascii="Palatino Linotype" w:hAnsi="Palatino Linotype" w:cs="Times New Roman"/>
          <w:b/>
          <w:color w:val="auto"/>
          <w:sz w:val="24"/>
          <w:szCs w:val="24"/>
          <w:lang w:val="ro-RO"/>
        </w:rPr>
        <w:t>ILOR</w:t>
      </w:r>
    </w:p>
    <w:p w14:paraId="09EF9480" w14:textId="77777777" w:rsidR="00542140" w:rsidRPr="00F003A0" w:rsidRDefault="00542140" w:rsidP="00542140">
      <w:pPr>
        <w:rPr>
          <w:rFonts w:ascii="Palatino Linotype" w:hAnsi="Palatino Linotype"/>
          <w:sz w:val="24"/>
          <w:szCs w:val="24"/>
          <w:lang w:val="ro-RO"/>
        </w:rPr>
      </w:pPr>
    </w:p>
    <w:p w14:paraId="4A52BC14" w14:textId="77777777" w:rsidR="00542140" w:rsidRPr="00FB7468" w:rsidRDefault="00542140" w:rsidP="00542140">
      <w:pPr>
        <w:rPr>
          <w:rFonts w:ascii="Palatino Linotype" w:hAnsi="Palatino Linotype" w:cs="Times New Roman"/>
          <w:color w:val="000000" w:themeColor="text1"/>
          <w:sz w:val="24"/>
          <w:szCs w:val="24"/>
          <w:lang w:val="ro-RO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006"/>
        <w:gridCol w:w="1043"/>
      </w:tblGrid>
      <w:tr w:rsidR="00FB7468" w:rsidRPr="00FB7468" w14:paraId="5267FB65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63062A59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033" w:type="dxa"/>
            <w:shd w:val="clear" w:color="auto" w:fill="auto"/>
          </w:tcPr>
          <w:p w14:paraId="7E93856D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016" w:type="dxa"/>
            <w:shd w:val="clear" w:color="auto" w:fill="auto"/>
          </w:tcPr>
          <w:p w14:paraId="7C72926B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Punctaj maxim</w:t>
            </w:r>
          </w:p>
        </w:tc>
      </w:tr>
      <w:tr w:rsidR="00FB7468" w:rsidRPr="00FB7468" w14:paraId="2FD99628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7A243A83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8033" w:type="dxa"/>
            <w:shd w:val="clear" w:color="auto" w:fill="auto"/>
          </w:tcPr>
          <w:p w14:paraId="5AE5B836" w14:textId="138074E4" w:rsidR="00542140" w:rsidRPr="00FB7468" w:rsidRDefault="00542140" w:rsidP="00542140">
            <w:pPr>
              <w:adjustRightInd w:val="0"/>
              <w:spacing w:after="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Vechimea </w:t>
            </w:r>
            <w:r w:rsidR="00F003A0"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entității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F003A0"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domeniu</w:t>
            </w:r>
            <w:r w:rsidR="00D02741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l </w:t>
            </w:r>
            <w:r w:rsidR="00D02741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protecției mediului/conservării naturii</w:t>
            </w:r>
            <w:r w:rsidR="00D02741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39D8DCF0" w14:textId="77777777" w:rsidR="00542140" w:rsidRPr="00FB7468" w:rsidRDefault="00542140" w:rsidP="005421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1 an – 5 puncte</w:t>
            </w:r>
          </w:p>
          <w:p w14:paraId="4FA0BD8D" w14:textId="77777777" w:rsidR="00542140" w:rsidRPr="00FB7468" w:rsidRDefault="00542140" w:rsidP="005421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 ani – 10 puncte</w:t>
            </w:r>
          </w:p>
          <w:p w14:paraId="6494A64F" w14:textId="77777777" w:rsidR="00542140" w:rsidRPr="00FB7468" w:rsidRDefault="00542140" w:rsidP="005421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Peste 3 ani – 15 puncte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5BD079B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FB7468" w:rsidRPr="00FB7468" w14:paraId="2C629271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496255FF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8033" w:type="dxa"/>
            <w:shd w:val="clear" w:color="auto" w:fill="auto"/>
          </w:tcPr>
          <w:p w14:paraId="5C89ECD4" w14:textId="41EC985D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Capacitatea de implementare a activit</w:t>
            </w:r>
            <w:r w:rsidR="00312141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ăț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ilor </w:t>
            </w:r>
            <w:r w:rsidR="00312141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cadrul proiectului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24F6F03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</w:p>
        </w:tc>
      </w:tr>
      <w:tr w:rsidR="00FB7468" w:rsidRPr="00FB7468" w14:paraId="3B5C27C5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5C98D669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2.2.</w:t>
            </w:r>
          </w:p>
        </w:tc>
        <w:tc>
          <w:tcPr>
            <w:tcW w:w="8033" w:type="dxa"/>
            <w:shd w:val="clear" w:color="auto" w:fill="auto"/>
          </w:tcPr>
          <w:p w14:paraId="6E66606B" w14:textId="7AEBE6B5" w:rsidR="00542140" w:rsidRPr="00FB7468" w:rsidRDefault="00542140" w:rsidP="00542140">
            <w:pPr>
              <w:tabs>
                <w:tab w:val="left" w:pos="317"/>
              </w:tabs>
              <w:adjustRightInd w:val="0"/>
              <w:ind w:left="33" w:firstLine="0"/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Num</w:t>
            </w:r>
            <w:r w:rsidR="007410AF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rul proiectelor/contractelor </w:t>
            </w:r>
            <w:r w:rsidR="0046056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din domeniul protecției mediului/conservării naturii </w:t>
            </w:r>
            <w:r w:rsidR="00312141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finanțate din fonduri europene nerambursabile</w:t>
            </w:r>
            <w:r w:rsidR="00460566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,</w:t>
            </w:r>
            <w:r w:rsidR="00312141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implementate de c</w:t>
            </w:r>
            <w:r w:rsidR="007410AF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tre ofertant</w:t>
            </w:r>
            <w:r w:rsidR="00460566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688DE6C0" w14:textId="77777777" w:rsidR="00542140" w:rsidRPr="00FB7468" w:rsidRDefault="00542140" w:rsidP="0054214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a implementat un proiect – 5 puncte</w:t>
            </w:r>
          </w:p>
          <w:p w14:paraId="26DA3396" w14:textId="2FAFCC6E" w:rsidR="00542140" w:rsidRPr="00FB7468" w:rsidRDefault="00542140" w:rsidP="0054214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a implementat dou</w:t>
            </w:r>
            <w:r w:rsidR="00460566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proiecte – 10 puncte</w:t>
            </w:r>
          </w:p>
          <w:p w14:paraId="1BF9C12F" w14:textId="77777777" w:rsidR="00542140" w:rsidRPr="00FB7468" w:rsidRDefault="00542140" w:rsidP="00542140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a implementat trei sau mai multe proiecte – 15 puncte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74EAAF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FB7468" w:rsidRPr="00FB7468" w14:paraId="668B1FB1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596E957E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2.4.</w:t>
            </w:r>
          </w:p>
        </w:tc>
        <w:tc>
          <w:tcPr>
            <w:tcW w:w="8033" w:type="dxa"/>
            <w:shd w:val="clear" w:color="auto" w:fill="auto"/>
          </w:tcPr>
          <w:p w14:paraId="0269F651" w14:textId="5E13120C" w:rsidR="00542140" w:rsidRPr="00FB7468" w:rsidRDefault="00542140" w:rsidP="00542140">
            <w:pPr>
              <w:tabs>
                <w:tab w:val="left" w:pos="317"/>
              </w:tabs>
              <w:adjustRightInd w:val="0"/>
              <w:ind w:left="33" w:firstLine="0"/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Num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rul de exper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 cheie disponibili, cu experien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a relevant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implementarea proiectului</w:t>
            </w:r>
          </w:p>
          <w:p w14:paraId="361B3859" w14:textId="77777777" w:rsidR="00542140" w:rsidRPr="00FB7468" w:rsidRDefault="00542140" w:rsidP="00542140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1 expert cheie – 5 puncte</w:t>
            </w:r>
          </w:p>
          <w:p w14:paraId="4D4D8DA5" w14:textId="7FEE30EA" w:rsidR="00542140" w:rsidRPr="00FB7468" w:rsidRDefault="00542140" w:rsidP="00542140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 exper</w:t>
            </w:r>
            <w:r w:rsidR="00195FA6"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 cheie – 10 puncte</w:t>
            </w:r>
          </w:p>
          <w:p w14:paraId="333FBF38" w14:textId="10FCFF70" w:rsidR="00542140" w:rsidRPr="00FB7468" w:rsidRDefault="00542140" w:rsidP="00542140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3 exper</w:t>
            </w:r>
            <w:r w:rsidR="00195FA6"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 cheie sau mai mul</w:t>
            </w:r>
            <w:r w:rsidR="00195FA6"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 – 20 puncte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F979DBD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FB7468" w:rsidRPr="00FB7468" w14:paraId="41ACC2D3" w14:textId="77777777" w:rsidTr="00DA54CE">
        <w:trPr>
          <w:jc w:val="center"/>
        </w:trPr>
        <w:tc>
          <w:tcPr>
            <w:tcW w:w="576" w:type="dxa"/>
            <w:shd w:val="clear" w:color="auto" w:fill="auto"/>
          </w:tcPr>
          <w:p w14:paraId="024BC6CF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8033" w:type="dxa"/>
            <w:shd w:val="clear" w:color="auto" w:fill="auto"/>
          </w:tcPr>
          <w:p w14:paraId="0288785F" w14:textId="49F2985D" w:rsidR="0047474E" w:rsidRPr="00FB7468" w:rsidRDefault="00542140" w:rsidP="00542140">
            <w:pPr>
              <w:tabs>
                <w:tab w:val="left" w:pos="317"/>
              </w:tabs>
              <w:adjustRightInd w:val="0"/>
              <w:ind w:left="33" w:firstLine="0"/>
              <w:rPr>
                <w:rFonts w:ascii="Palatino Linotype" w:hAnsi="Palatino Linotype"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Ofertantul a f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cut dovada </w:t>
            </w:r>
            <w:r w:rsidR="00195FA6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n cadrul Propunerii tehnice de parteneriat a 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ț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elegerii nevoilor 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 a elementelor necesare implement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rii unui proiect care vizeaz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i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mplementarea m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surilor </w:t>
            </w:r>
            <w:r w:rsidR="0047474E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privind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7474E" w:rsidRPr="00FB7468">
              <w:rPr>
                <w:rFonts w:ascii="Palatino Linotype" w:hAnsi="Palatino Linotype"/>
                <w:color w:val="000000" w:themeColor="text1"/>
                <w:lang w:val="ro-RO"/>
              </w:rPr>
              <w:t>„</w:t>
            </w:r>
            <w:r w:rsidR="0047474E" w:rsidRPr="00FB7468">
              <w:rPr>
                <w:rFonts w:ascii="Palatino Linotype" w:hAnsi="Palatino Linotype"/>
                <w:color w:val="000000" w:themeColor="text1"/>
                <w:sz w:val="24"/>
                <w:szCs w:val="24"/>
                <w:lang w:val="ro-RO"/>
              </w:rPr>
              <w:t>Revizuirea Planurilor de management al</w:t>
            </w:r>
            <w:r w:rsidR="005577E1">
              <w:rPr>
                <w:rFonts w:ascii="Palatino Linotype" w:hAnsi="Palatino Linotype"/>
                <w:color w:val="000000" w:themeColor="text1"/>
                <w:sz w:val="24"/>
                <w:szCs w:val="24"/>
                <w:lang w:val="ro-RO"/>
              </w:rPr>
              <w:t>e</w:t>
            </w:r>
            <w:r w:rsidR="0047474E" w:rsidRPr="00FB7468">
              <w:rPr>
                <w:rFonts w:ascii="Palatino Linotype" w:hAnsi="Palatino Linotype"/>
                <w:color w:val="000000" w:themeColor="text1"/>
                <w:sz w:val="24"/>
                <w:szCs w:val="24"/>
                <w:lang w:val="ro-RO"/>
              </w:rPr>
              <w:t xml:space="preserve"> ariilor protejate Munții Bodoc-Baraolt și Dealul Ciocaș-Dealul Vițelului”.</w:t>
            </w:r>
          </w:p>
          <w:p w14:paraId="3016B031" w14:textId="29546CF5" w:rsidR="00542140" w:rsidRPr="00FB7468" w:rsidRDefault="00542140" w:rsidP="00542140">
            <w:pPr>
              <w:tabs>
                <w:tab w:val="left" w:pos="317"/>
              </w:tabs>
              <w:adjustRightInd w:val="0"/>
              <w:ind w:left="33" w:firstLine="0"/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Ofertantul a inclus descrierea activit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ăț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ilor care sunt stabilite prin proiect, modul de repartizare 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responsabilitatea partenerului c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â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t si </w:t>
            </w:r>
            <w:r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7B7CCD"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UAT Județul Covasna prin Consiliul Județean Covasna</w:t>
            </w:r>
            <w:r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, valoarea ad</w:t>
            </w:r>
            <w:r w:rsidR="007B7CCD"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ugat</w:t>
            </w:r>
            <w:r w:rsidR="007B7CCD"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113C3E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adus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de parteneriat 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ceea ce prive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ș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te implementarea proiectului, precum si alte aspecte legate de realizarea activit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ăț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ilor 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î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n cauz</w:t>
            </w:r>
            <w:r w:rsidR="007B7CCD"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ă</w:t>
            </w:r>
            <w:r w:rsidRPr="00FB7468">
              <w:rPr>
                <w:rFonts w:ascii="Palatino Linotype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, inclusiv propunerea de personal pentru acestea, calendar, alte resurse necesare.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721C18" w14:textId="77777777" w:rsidR="00542140" w:rsidRPr="00FB7468" w:rsidRDefault="00542140" w:rsidP="00542140">
            <w:pPr>
              <w:adjustRightInd w:val="0"/>
              <w:spacing w:after="160" w:line="259" w:lineRule="auto"/>
              <w:ind w:left="0" w:firstLine="0"/>
              <w:contextualSpacing/>
              <w:jc w:val="center"/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FB7468">
              <w:rPr>
                <w:rFonts w:ascii="Palatino Linotype" w:eastAsia="Calibri" w:hAnsi="Palatino Linotype" w:cs="Times New Roman"/>
                <w:iCs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</w:tr>
    </w:tbl>
    <w:p w14:paraId="3B88CC48" w14:textId="60E4F56A" w:rsidR="00732DBB" w:rsidRPr="00FB7468" w:rsidRDefault="00732DBB" w:rsidP="00542140">
      <w:pPr>
        <w:adjustRightInd w:val="0"/>
        <w:jc w:val="center"/>
        <w:rPr>
          <w:rFonts w:ascii="Palatino Linotype" w:hAnsi="Palatino Linotype" w:cs="Times New Roman"/>
          <w:b/>
          <w:bCs/>
          <w:color w:val="000000" w:themeColor="text1"/>
          <w:sz w:val="24"/>
          <w:szCs w:val="24"/>
          <w:lang w:val="ro-RO"/>
        </w:rPr>
      </w:pPr>
    </w:p>
    <w:sectPr w:rsidR="00732DBB" w:rsidRPr="00FB7468" w:rsidSect="006F5660">
      <w:pgSz w:w="11906" w:h="16838" w:code="9"/>
      <w:pgMar w:top="993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6CF4"/>
    <w:multiLevelType w:val="hybridMultilevel"/>
    <w:tmpl w:val="367A4F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0C6"/>
    <w:multiLevelType w:val="hybridMultilevel"/>
    <w:tmpl w:val="AF640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0739"/>
    <w:multiLevelType w:val="hybridMultilevel"/>
    <w:tmpl w:val="DB0633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3A5A"/>
    <w:multiLevelType w:val="hybridMultilevel"/>
    <w:tmpl w:val="B9AEF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35"/>
    <w:rsid w:val="00022654"/>
    <w:rsid w:val="00044CB0"/>
    <w:rsid w:val="00113C3E"/>
    <w:rsid w:val="00195FA6"/>
    <w:rsid w:val="001D6A44"/>
    <w:rsid w:val="002130E7"/>
    <w:rsid w:val="00251ED5"/>
    <w:rsid w:val="003018F2"/>
    <w:rsid w:val="00312141"/>
    <w:rsid w:val="00460566"/>
    <w:rsid w:val="0047474E"/>
    <w:rsid w:val="005050C7"/>
    <w:rsid w:val="0053397B"/>
    <w:rsid w:val="00542140"/>
    <w:rsid w:val="00544336"/>
    <w:rsid w:val="005577E1"/>
    <w:rsid w:val="005A67DE"/>
    <w:rsid w:val="00636B89"/>
    <w:rsid w:val="006F5660"/>
    <w:rsid w:val="00732DBB"/>
    <w:rsid w:val="007410AF"/>
    <w:rsid w:val="00797FE9"/>
    <w:rsid w:val="007B7CCD"/>
    <w:rsid w:val="00845983"/>
    <w:rsid w:val="00895083"/>
    <w:rsid w:val="009B4575"/>
    <w:rsid w:val="009C0F5C"/>
    <w:rsid w:val="00A06BA0"/>
    <w:rsid w:val="00A61D4F"/>
    <w:rsid w:val="00A76635"/>
    <w:rsid w:val="00A971A5"/>
    <w:rsid w:val="00BB6955"/>
    <w:rsid w:val="00D02741"/>
    <w:rsid w:val="00D774FC"/>
    <w:rsid w:val="00EC0DA6"/>
    <w:rsid w:val="00EC2150"/>
    <w:rsid w:val="00F003A0"/>
    <w:rsid w:val="00FB6E05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C91"/>
  <w15:chartTrackingRefBased/>
  <w15:docId w15:val="{3282B81E-7977-49EA-B241-7BF7605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35"/>
    <w:pPr>
      <w:spacing w:after="4" w:line="248" w:lineRule="auto"/>
      <w:ind w:left="349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Normal bullet 2,Listă colorată - Accentuare 11,body 2,List Paragraph11,List Paragraph111,List1,Forth level,Bullet,Citation List,Listă paragraf"/>
    <w:basedOn w:val="Normal"/>
    <w:link w:val="ListParagraphChar"/>
    <w:uiPriority w:val="99"/>
    <w:qFormat/>
    <w:rsid w:val="00A76635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color w:val="auto"/>
      <w:sz w:val="24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List1 Char,Forth level Char,Bullet Char,Citation List Char,Listă paragraf Char"/>
    <w:link w:val="ListParagraph1"/>
    <w:uiPriority w:val="99"/>
    <w:locked/>
    <w:rsid w:val="00A76635"/>
    <w:rPr>
      <w:rFonts w:ascii="Calibri" w:eastAsia="Calibri" w:hAnsi="Calibri"/>
      <w:sz w:val="24"/>
    </w:rPr>
  </w:style>
  <w:style w:type="paragraph" w:customStyle="1" w:styleId="Ghid1">
    <w:name w:val="Ghid 1"/>
    <w:basedOn w:val="Normal"/>
    <w:link w:val="Ghid1Caracter"/>
    <w:uiPriority w:val="99"/>
    <w:rsid w:val="00A76635"/>
    <w:pPr>
      <w:spacing w:before="120" w:after="0" w:line="288" w:lineRule="auto"/>
      <w:ind w:left="0" w:firstLine="0"/>
      <w:jc w:val="left"/>
    </w:pPr>
    <w:rPr>
      <w:rFonts w:ascii="Verdana" w:eastAsia="MS Mincho" w:hAnsi="Verdana" w:cs="Times New Roman"/>
      <w:b/>
      <w:color w:val="auto"/>
      <w:sz w:val="28"/>
      <w:szCs w:val="20"/>
      <w:lang w:eastAsia="ro-RO"/>
    </w:rPr>
  </w:style>
  <w:style w:type="paragraph" w:customStyle="1" w:styleId="Ghid2">
    <w:name w:val="Ghid 2"/>
    <w:basedOn w:val="Normal"/>
    <w:link w:val="Ghid2Caracter"/>
    <w:rsid w:val="00A76635"/>
    <w:pPr>
      <w:spacing w:before="120" w:after="0" w:line="288" w:lineRule="auto"/>
      <w:ind w:left="0" w:firstLine="0"/>
      <w:jc w:val="left"/>
    </w:pPr>
    <w:rPr>
      <w:rFonts w:ascii="Verdana" w:eastAsia="MS Mincho" w:hAnsi="Verdana" w:cs="Times New Roman"/>
      <w:i/>
      <w:color w:val="auto"/>
      <w:sz w:val="24"/>
      <w:szCs w:val="20"/>
      <w:lang w:eastAsia="ro-RO"/>
    </w:rPr>
  </w:style>
  <w:style w:type="character" w:customStyle="1" w:styleId="Ghid1Caracter">
    <w:name w:val="Ghid 1 Caracter"/>
    <w:link w:val="Ghid1"/>
    <w:uiPriority w:val="99"/>
    <w:locked/>
    <w:rsid w:val="00A76635"/>
    <w:rPr>
      <w:rFonts w:ascii="Verdana" w:eastAsia="MS Mincho" w:hAnsi="Verdana"/>
      <w:b/>
      <w:sz w:val="28"/>
      <w:szCs w:val="20"/>
      <w:lang w:eastAsia="ro-RO"/>
    </w:rPr>
  </w:style>
  <w:style w:type="character" w:customStyle="1" w:styleId="Ghid2Caracter">
    <w:name w:val="Ghid 2 Caracter"/>
    <w:link w:val="Ghid2"/>
    <w:locked/>
    <w:rsid w:val="00A76635"/>
    <w:rPr>
      <w:rFonts w:ascii="Verdana" w:eastAsia="MS Mincho" w:hAnsi="Verdana"/>
      <w:i/>
      <w:sz w:val="24"/>
      <w:szCs w:val="20"/>
      <w:lang w:eastAsia="ro-RO"/>
    </w:rPr>
  </w:style>
  <w:style w:type="paragraph" w:customStyle="1" w:styleId="Default">
    <w:name w:val="Default"/>
    <w:rsid w:val="00732DBB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Kanyadi Beata</dc:creator>
  <cp:keywords/>
  <dc:description/>
  <cp:lastModifiedBy>Kanyadi Beata</cp:lastModifiedBy>
  <cp:revision>41</cp:revision>
  <cp:lastPrinted>2021-07-07T10:14:00Z</cp:lastPrinted>
  <dcterms:created xsi:type="dcterms:W3CDTF">2021-07-01T09:27:00Z</dcterms:created>
  <dcterms:modified xsi:type="dcterms:W3CDTF">2021-07-12T11:09:00Z</dcterms:modified>
</cp:coreProperties>
</file>